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CD6F1D" w:rsidP="0024412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A2389" w:rsidRDefault="001855E6" w:rsidP="00D32B51">
            <w:pPr>
              <w:pStyle w:val="Infotext"/>
              <w:rPr>
                <w:rFonts w:ascii="Arial Black" w:hAnsi="Arial Black" w:cs="Arial"/>
                <w:sz w:val="36"/>
                <w:szCs w:val="36"/>
              </w:rPr>
            </w:pPr>
            <w:r>
              <w:rPr>
                <w:rFonts w:ascii="Arial Black" w:hAnsi="Arial Black" w:cs="Arial"/>
                <w:sz w:val="36"/>
                <w:szCs w:val="36"/>
              </w:rPr>
              <w:t xml:space="preserve">GOVERNANCE, AUDIT, RISK MANAGEMENT and STANDARDS </w:t>
            </w:r>
            <w:r w:rsidR="00D841A5" w:rsidRPr="00D841A5">
              <w:rPr>
                <w:rFonts w:ascii="Arial Black" w:hAnsi="Arial Black" w:cs="Arial"/>
                <w:sz w:val="36"/>
                <w:szCs w:val="36"/>
              </w:rPr>
              <w:t>COMMITTEE</w:t>
            </w:r>
          </w:p>
          <w:p w:rsidR="002C1794" w:rsidRPr="002C1794" w:rsidRDefault="002C1794" w:rsidP="00D32B51">
            <w:pPr>
              <w:pStyle w:val="Infotext"/>
              <w:rPr>
                <w:rFonts w:ascii="Arial Black" w:hAnsi="Arial Black" w:cs="Arial"/>
                <w:color w:val="0000FF"/>
                <w:sz w:val="36"/>
                <w:szCs w:val="36"/>
              </w:rPr>
            </w:pPr>
          </w:p>
        </w:tc>
      </w:tr>
      <w:tr w:rsidR="002A2389" w:rsidTr="007D2BDA">
        <w:tc>
          <w:tcPr>
            <w:tcW w:w="3456" w:type="dxa"/>
            <w:tcBorders>
              <w:top w:val="single" w:sz="18" w:space="0" w:color="auto"/>
            </w:tcBorders>
          </w:tcPr>
          <w:p w:rsidR="002A2389" w:rsidRPr="00F92398" w:rsidRDefault="002A2389">
            <w:pPr>
              <w:pStyle w:val="Infotext"/>
              <w:rPr>
                <w:rFonts w:ascii="Arial Black" w:hAnsi="Arial Black"/>
              </w:rPr>
            </w:pPr>
            <w:r w:rsidRPr="00F92398">
              <w:rPr>
                <w:rFonts w:ascii="Arial Black" w:hAnsi="Arial Black"/>
              </w:rPr>
              <w:t>Date</w:t>
            </w:r>
            <w:r w:rsidR="00AA4BE8">
              <w:rPr>
                <w:rFonts w:ascii="Arial Black" w:hAnsi="Arial Black"/>
              </w:rPr>
              <w:t xml:space="preserve"> of Meeting</w:t>
            </w:r>
            <w:r w:rsidRPr="00F92398">
              <w:rPr>
                <w:rFonts w:ascii="Arial Black" w:hAnsi="Arial Black"/>
              </w:rPr>
              <w:t>:</w:t>
            </w:r>
          </w:p>
          <w:p w:rsidR="002A2389" w:rsidRPr="00F92398" w:rsidRDefault="002A2389">
            <w:pPr>
              <w:pStyle w:val="Infotext"/>
              <w:rPr>
                <w:rFonts w:ascii="Arial Black" w:hAnsi="Arial Black" w:cs="Arial"/>
              </w:rPr>
            </w:pPr>
          </w:p>
        </w:tc>
        <w:tc>
          <w:tcPr>
            <w:tcW w:w="5508" w:type="dxa"/>
            <w:gridSpan w:val="2"/>
            <w:tcBorders>
              <w:top w:val="single" w:sz="18" w:space="0" w:color="auto"/>
            </w:tcBorders>
          </w:tcPr>
          <w:p w:rsidR="002A2389" w:rsidRDefault="002233F2" w:rsidP="000201E3">
            <w:pPr>
              <w:pStyle w:val="Infotext"/>
              <w:rPr>
                <w:rFonts w:cs="Arial"/>
              </w:rPr>
            </w:pPr>
            <w:r>
              <w:rPr>
                <w:rFonts w:cs="Arial"/>
              </w:rPr>
              <w:t>1</w:t>
            </w:r>
            <w:r w:rsidR="001855E6">
              <w:rPr>
                <w:rFonts w:cs="Arial"/>
              </w:rPr>
              <w:t>6</w:t>
            </w:r>
            <w:r w:rsidR="00EB21FA">
              <w:rPr>
                <w:rFonts w:cs="Arial"/>
              </w:rPr>
              <w:t xml:space="preserve"> </w:t>
            </w:r>
            <w:r w:rsidR="000201E3">
              <w:rPr>
                <w:rFonts w:cs="Arial"/>
              </w:rPr>
              <w:t>September 2019</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Subject:</w:t>
            </w:r>
          </w:p>
          <w:p w:rsidR="002A2389" w:rsidRPr="00F92398" w:rsidRDefault="002A2389">
            <w:pPr>
              <w:pStyle w:val="Infotext"/>
              <w:rPr>
                <w:rFonts w:ascii="Arial Black" w:hAnsi="Arial Black"/>
              </w:rPr>
            </w:pPr>
          </w:p>
        </w:tc>
        <w:tc>
          <w:tcPr>
            <w:tcW w:w="5508" w:type="dxa"/>
            <w:gridSpan w:val="2"/>
          </w:tcPr>
          <w:p w:rsidR="002A2389" w:rsidRDefault="001855E6">
            <w:pPr>
              <w:pStyle w:val="Infotext"/>
              <w:rPr>
                <w:rFonts w:cs="Arial"/>
              </w:rPr>
            </w:pPr>
            <w:r>
              <w:rPr>
                <w:rFonts w:cs="Arial"/>
              </w:rPr>
              <w:t>Draft GARMS Committee Annual Report</w:t>
            </w: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Responsible Officer:</w:t>
            </w:r>
          </w:p>
          <w:p w:rsidR="002A2389" w:rsidRPr="00F92398" w:rsidRDefault="002A2389">
            <w:pPr>
              <w:pStyle w:val="Infotext"/>
              <w:rPr>
                <w:rFonts w:ascii="Arial Black" w:hAnsi="Arial Black" w:cs="Arial"/>
              </w:rPr>
            </w:pPr>
          </w:p>
        </w:tc>
        <w:tc>
          <w:tcPr>
            <w:tcW w:w="5508" w:type="dxa"/>
            <w:gridSpan w:val="2"/>
          </w:tcPr>
          <w:p w:rsidR="002A2389" w:rsidRDefault="001855E6">
            <w:pPr>
              <w:pStyle w:val="Infotext"/>
              <w:rPr>
                <w:rFonts w:cs="Arial"/>
              </w:rPr>
            </w:pPr>
            <w:r>
              <w:rPr>
                <w:rFonts w:cs="Arial"/>
              </w:rPr>
              <w:t>Dawn Calvert – Director of Finance</w:t>
            </w:r>
          </w:p>
          <w:p w:rsidR="007D56C8" w:rsidRDefault="007D56C8">
            <w:pPr>
              <w:pStyle w:val="Infotext"/>
              <w:rPr>
                <w:rFonts w:cs="Arial"/>
              </w:rPr>
            </w:pPr>
          </w:p>
        </w:tc>
      </w:tr>
      <w:tr w:rsidR="002A2389" w:rsidTr="007D2BDA">
        <w:tc>
          <w:tcPr>
            <w:tcW w:w="3456" w:type="dxa"/>
          </w:tcPr>
          <w:p w:rsidR="002A2389" w:rsidRPr="00F92398" w:rsidRDefault="002A2389">
            <w:pPr>
              <w:pStyle w:val="Infotext"/>
              <w:rPr>
                <w:rFonts w:ascii="Arial Black" w:hAnsi="Arial Black" w:cs="Arial"/>
              </w:rPr>
            </w:pPr>
            <w:r w:rsidRPr="00F92398">
              <w:rPr>
                <w:rFonts w:ascii="Arial Black" w:hAnsi="Arial Black" w:cs="Arial"/>
              </w:rPr>
              <w:t>Exempt:</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rPr>
                <w:rFonts w:cs="Arial"/>
              </w:rPr>
            </w:pPr>
            <w:r>
              <w:rPr>
                <w:rFonts w:cs="Arial"/>
              </w:rPr>
              <w:t>No</w:t>
            </w:r>
          </w:p>
          <w:p w:rsidR="00213BE7" w:rsidRDefault="00213BE7" w:rsidP="001855E6">
            <w:pPr>
              <w:pStyle w:val="Infotext"/>
              <w:rPr>
                <w:rFonts w:cs="Arial"/>
              </w:rPr>
            </w:pPr>
          </w:p>
        </w:tc>
      </w:tr>
      <w:tr w:rsidR="00B900E2" w:rsidTr="007D2BDA">
        <w:tc>
          <w:tcPr>
            <w:tcW w:w="3456" w:type="dxa"/>
          </w:tcPr>
          <w:p w:rsidR="00B900E2" w:rsidRDefault="000B0E6F">
            <w:pPr>
              <w:pStyle w:val="Infotext"/>
              <w:rPr>
                <w:rFonts w:ascii="Arial Black" w:hAnsi="Arial Black" w:cs="Arial"/>
              </w:rPr>
            </w:pPr>
            <w:r>
              <w:rPr>
                <w:rFonts w:ascii="Arial Black" w:hAnsi="Arial Black" w:cs="Arial"/>
              </w:rPr>
              <w:t>Wards affected:</w:t>
            </w:r>
          </w:p>
          <w:p w:rsidR="000B0E6F" w:rsidRPr="00F92398" w:rsidRDefault="000B0E6F">
            <w:pPr>
              <w:pStyle w:val="Infotext"/>
              <w:rPr>
                <w:rFonts w:ascii="Arial Black" w:hAnsi="Arial Black" w:cs="Arial"/>
              </w:rPr>
            </w:pPr>
          </w:p>
        </w:tc>
        <w:tc>
          <w:tcPr>
            <w:tcW w:w="5508" w:type="dxa"/>
            <w:gridSpan w:val="2"/>
          </w:tcPr>
          <w:p w:rsidR="00B900E2" w:rsidRDefault="001855E6" w:rsidP="001855E6">
            <w:pPr>
              <w:pStyle w:val="Infotext"/>
            </w:pPr>
            <w:r>
              <w:rPr>
                <w:rFonts w:cs="Arial"/>
                <w:szCs w:val="24"/>
              </w:rPr>
              <w:t>ALL</w:t>
            </w:r>
          </w:p>
        </w:tc>
      </w:tr>
      <w:tr w:rsidR="002A2389" w:rsidTr="007D2BDA">
        <w:tc>
          <w:tcPr>
            <w:tcW w:w="3456" w:type="dxa"/>
          </w:tcPr>
          <w:p w:rsidR="002A2389" w:rsidRPr="00F92398" w:rsidRDefault="002A2389">
            <w:pPr>
              <w:pStyle w:val="Infotext"/>
              <w:rPr>
                <w:rFonts w:ascii="Arial Black" w:hAnsi="Arial Black" w:cs="Arial"/>
              </w:rPr>
            </w:pPr>
          </w:p>
          <w:p w:rsidR="002A2389" w:rsidRPr="00F92398" w:rsidRDefault="002A2389">
            <w:pPr>
              <w:pStyle w:val="Infotext"/>
              <w:rPr>
                <w:rFonts w:ascii="Arial Black" w:hAnsi="Arial Black" w:cs="Arial"/>
              </w:rPr>
            </w:pPr>
            <w:r w:rsidRPr="00F92398">
              <w:rPr>
                <w:rFonts w:ascii="Arial Black" w:hAnsi="Arial Black" w:cs="Arial"/>
              </w:rPr>
              <w:t>Enclosures:</w:t>
            </w:r>
          </w:p>
          <w:p w:rsidR="002A2389" w:rsidRPr="00F92398" w:rsidRDefault="002A2389">
            <w:pPr>
              <w:pStyle w:val="Infotext"/>
              <w:rPr>
                <w:rFonts w:ascii="Arial Black" w:hAnsi="Arial Black" w:cs="Arial"/>
              </w:rPr>
            </w:pPr>
          </w:p>
        </w:tc>
        <w:tc>
          <w:tcPr>
            <w:tcW w:w="5508" w:type="dxa"/>
            <w:gridSpan w:val="2"/>
          </w:tcPr>
          <w:p w:rsidR="002A2389" w:rsidRDefault="002A2389">
            <w:pPr>
              <w:pStyle w:val="Infotext"/>
            </w:pPr>
          </w:p>
          <w:p w:rsidR="002A2389" w:rsidRDefault="001855E6" w:rsidP="001855E6">
            <w:pPr>
              <w:pStyle w:val="Infotext"/>
            </w:pPr>
            <w:r>
              <w:t>Appendix 1 – Draft Annual Report</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2A2389" w:rsidRDefault="002A2389"/>
          <w:p w:rsidR="002A2389" w:rsidRPr="001855E6" w:rsidRDefault="002A2389" w:rsidP="001855E6">
            <w:r w:rsidRPr="001855E6">
              <w:t>This report sets out</w:t>
            </w:r>
            <w:r w:rsidR="001855E6" w:rsidRPr="001855E6">
              <w:t xml:space="preserve"> the draft GARMS Committee Annual Report for Council in compliance with the requirements of the GARMS Committees Terms of Reference.</w:t>
            </w:r>
          </w:p>
          <w:p w:rsidR="002A2389" w:rsidRDefault="002A2389">
            <w:pPr>
              <w:pStyle w:val="Heading2"/>
            </w:pPr>
            <w:r>
              <w:t xml:space="preserve">Recommendations: </w:t>
            </w:r>
          </w:p>
          <w:p w:rsidR="002A2389" w:rsidRDefault="002A2389">
            <w:r>
              <w:t>The Committee is requested to:</w:t>
            </w:r>
          </w:p>
          <w:p w:rsidR="001855E6" w:rsidRDefault="001855E6" w:rsidP="001855E6">
            <w:pPr>
              <w:pStyle w:val="ListParagraph"/>
              <w:numPr>
                <w:ilvl w:val="0"/>
                <w:numId w:val="16"/>
              </w:numPr>
            </w:pPr>
            <w:r>
              <w:t>Consider the draft report attached at Appendix 1;</w:t>
            </w:r>
          </w:p>
          <w:p w:rsidR="001855E6" w:rsidRDefault="001855E6" w:rsidP="001855E6">
            <w:pPr>
              <w:pStyle w:val="ListParagraph"/>
              <w:numPr>
                <w:ilvl w:val="0"/>
                <w:numId w:val="16"/>
              </w:numPr>
            </w:pPr>
            <w:r>
              <w:t>Provide any comments/changes required to the report;</w:t>
            </w:r>
          </w:p>
          <w:p w:rsidR="001855E6" w:rsidRDefault="001855E6" w:rsidP="001855E6">
            <w:pPr>
              <w:pStyle w:val="ListParagraph"/>
              <w:numPr>
                <w:ilvl w:val="0"/>
                <w:numId w:val="16"/>
              </w:numPr>
            </w:pPr>
            <w:r>
              <w:t>Agree any recommendations the Committee may wish to make as part of the report;</w:t>
            </w:r>
          </w:p>
          <w:p w:rsidR="001855E6" w:rsidRDefault="00256FE9" w:rsidP="001855E6">
            <w:pPr>
              <w:pStyle w:val="ListParagraph"/>
              <w:numPr>
                <w:ilvl w:val="0"/>
                <w:numId w:val="16"/>
              </w:numPr>
            </w:pPr>
            <w:r>
              <w:t xml:space="preserve">To delegate to the Head of Internal, in consultation with the Chair, the production of </w:t>
            </w:r>
            <w:r w:rsidR="002D2F97" w:rsidRPr="002D2F97">
              <w:t xml:space="preserve">a foreword </w:t>
            </w:r>
            <w:r w:rsidR="00ED509E">
              <w:t xml:space="preserve">to </w:t>
            </w:r>
            <w:r w:rsidR="002D2F97" w:rsidRPr="002D2F97">
              <w:t>be added to the report</w:t>
            </w:r>
            <w:r>
              <w:t>;</w:t>
            </w:r>
          </w:p>
          <w:p w:rsidR="00213BE7" w:rsidRDefault="0034130A" w:rsidP="001855E6">
            <w:pPr>
              <w:pStyle w:val="ListParagraph"/>
              <w:numPr>
                <w:ilvl w:val="0"/>
                <w:numId w:val="16"/>
              </w:numPr>
            </w:pPr>
            <w:r>
              <w:t>Agree, subject to the above, for the report to be presented to Council.</w:t>
            </w:r>
            <w:r w:rsidR="00213BE7">
              <w:t xml:space="preserve">  </w:t>
            </w:r>
          </w:p>
          <w:p w:rsidR="002A2389" w:rsidRDefault="002A2389"/>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2A2389" w:rsidRPr="00126664" w:rsidRDefault="002A2389" w:rsidP="0034130A">
      <w:pPr>
        <w:rPr>
          <w:sz w:val="28"/>
          <w:szCs w:val="28"/>
        </w:rPr>
      </w:pPr>
      <w:r w:rsidRPr="00126664">
        <w:rPr>
          <w:sz w:val="28"/>
          <w:szCs w:val="28"/>
        </w:rPr>
        <w:t>Background</w:t>
      </w:r>
    </w:p>
    <w:p w:rsidR="0034130A" w:rsidRPr="00126664" w:rsidRDefault="0034130A" w:rsidP="0034130A"/>
    <w:p w:rsidR="002A2389" w:rsidRPr="00126664" w:rsidRDefault="00E03596" w:rsidP="00692F0D">
      <w:pPr>
        <w:ind w:left="720" w:hanging="720"/>
        <w:jc w:val="both"/>
      </w:pPr>
      <w:r>
        <w:t>2.1</w:t>
      </w:r>
      <w:r>
        <w:tab/>
      </w:r>
      <w:r w:rsidR="0034130A" w:rsidRPr="00126664">
        <w:t>As part of the 2017/18 annual governance review it was identified that the audit committee role, undertaken by the GARMS Committee, had not been specifically reviewed against best practice, as contained in CIPFA guidance, for several years.  This was identified as a minor governance gap and to address this an Internal Audit review of the audit committee was included in the 2018/19 Internal Audit Plan, and undertaken in Q2/Q3 of that year.</w:t>
      </w:r>
    </w:p>
    <w:p w:rsidR="0034130A" w:rsidRPr="00126664" w:rsidRDefault="0034130A" w:rsidP="00692F0D">
      <w:pPr>
        <w:jc w:val="both"/>
      </w:pPr>
    </w:p>
    <w:p w:rsidR="0034130A" w:rsidRPr="00126664" w:rsidRDefault="00E03596" w:rsidP="00692F0D">
      <w:pPr>
        <w:ind w:left="720" w:hanging="720"/>
        <w:jc w:val="both"/>
      </w:pPr>
      <w:r>
        <w:t>2.2</w:t>
      </w:r>
      <w:r>
        <w:tab/>
      </w:r>
      <w:r w:rsidR="0034130A" w:rsidRPr="00126664">
        <w:t>The draft Internal Audit report outlining the findings of the review was presented to the Committee in December 2018. The report’s recommendations were agreed overall at the meeting with members indicating that they would wish to add more detailed information into the action plan as it progressed.</w:t>
      </w:r>
    </w:p>
    <w:p w:rsidR="0034130A" w:rsidRPr="00126664" w:rsidRDefault="0034130A" w:rsidP="00692F0D">
      <w:pPr>
        <w:jc w:val="both"/>
      </w:pPr>
    </w:p>
    <w:p w:rsidR="0034130A" w:rsidRPr="00126664" w:rsidRDefault="00E03596" w:rsidP="00692F0D">
      <w:pPr>
        <w:ind w:left="720" w:hanging="720"/>
        <w:jc w:val="both"/>
      </w:pPr>
      <w:r>
        <w:t>2.3</w:t>
      </w:r>
      <w:r>
        <w:tab/>
      </w:r>
      <w:r w:rsidR="0034130A" w:rsidRPr="00126664">
        <w:t xml:space="preserve">The proposed final report was therefore presented and suggested ways to progress the agreed recommendations agreed at the April 2019 Committee meeting. </w:t>
      </w:r>
    </w:p>
    <w:p w:rsidR="0034130A" w:rsidRPr="00126664" w:rsidRDefault="0034130A" w:rsidP="00692F0D">
      <w:pPr>
        <w:jc w:val="both"/>
      </w:pPr>
    </w:p>
    <w:p w:rsidR="0034130A" w:rsidRPr="00126664" w:rsidRDefault="00E03596" w:rsidP="00692F0D">
      <w:pPr>
        <w:ind w:left="720" w:hanging="720"/>
        <w:jc w:val="both"/>
      </w:pPr>
      <w:r>
        <w:t>2.4</w:t>
      </w:r>
      <w:r>
        <w:tab/>
      </w:r>
      <w:r w:rsidR="0034130A" w:rsidRPr="00126664">
        <w:t>One of the key recommendations in report was for the Committee to produce an Annual Report on its performance for those charged with governance:  the Council and a template for the report was agreed.</w:t>
      </w:r>
      <w:r w:rsidR="00D109E7" w:rsidRPr="00126664">
        <w:t xml:space="preserve">  This requirement was also included in the Committee’s update Terms of Reference as a result of the review and agreed by Council in February 2019.</w:t>
      </w:r>
    </w:p>
    <w:p w:rsidR="00D109E7" w:rsidRPr="00126664" w:rsidRDefault="00D109E7" w:rsidP="0034130A"/>
    <w:p w:rsidR="002A2389" w:rsidRPr="00126664" w:rsidRDefault="00D109E7">
      <w:pPr>
        <w:pStyle w:val="Heading2"/>
      </w:pPr>
      <w:r w:rsidRPr="00126664">
        <w:t>Draft Annual Report</w:t>
      </w:r>
    </w:p>
    <w:p w:rsidR="002A2389" w:rsidRPr="00126664" w:rsidRDefault="002A2389"/>
    <w:p w:rsidR="00D109E7" w:rsidRPr="00126664" w:rsidRDefault="00E03596" w:rsidP="00E03596">
      <w:pPr>
        <w:ind w:left="720" w:hanging="720"/>
      </w:pPr>
      <w:r>
        <w:t>2.5</w:t>
      </w:r>
      <w:r>
        <w:tab/>
      </w:r>
      <w:r w:rsidR="00D109E7" w:rsidRPr="00126664">
        <w:t xml:space="preserve">The proposed draft Annual Report is attached at Appendix 1 for the Committee’s consideration, input and agreement.  </w:t>
      </w:r>
    </w:p>
    <w:p w:rsidR="00D109E7" w:rsidRPr="00126664" w:rsidRDefault="00D109E7"/>
    <w:p w:rsidR="00213BE7" w:rsidRPr="00126664" w:rsidRDefault="00213BE7" w:rsidP="00213BE7">
      <w:pPr>
        <w:pStyle w:val="Heading2"/>
      </w:pPr>
      <w:r w:rsidRPr="00126664">
        <w:t>Legal Implications</w:t>
      </w:r>
    </w:p>
    <w:p w:rsidR="00213BE7" w:rsidRPr="00126664" w:rsidRDefault="00213BE7" w:rsidP="00213BE7">
      <w:pPr>
        <w:pStyle w:val="Heading4"/>
        <w:keepNext w:val="0"/>
        <w:rPr>
          <w:b w:val="0"/>
        </w:rPr>
      </w:pPr>
    </w:p>
    <w:tbl>
      <w:tblPr>
        <w:tblW w:w="0" w:type="auto"/>
        <w:tblLook w:val="01E0" w:firstRow="1" w:lastRow="1" w:firstColumn="1" w:lastColumn="1" w:noHBand="0" w:noVBand="0"/>
      </w:tblPr>
      <w:tblGrid>
        <w:gridCol w:w="8525"/>
      </w:tblGrid>
      <w:tr w:rsidR="00126664" w:rsidRPr="00126664" w:rsidTr="00D109E7">
        <w:tc>
          <w:tcPr>
            <w:tcW w:w="8525" w:type="dxa"/>
            <w:shd w:val="clear" w:color="auto" w:fill="auto"/>
          </w:tcPr>
          <w:p w:rsidR="00213BE7" w:rsidRPr="00126664" w:rsidRDefault="00D109E7" w:rsidP="00D109E7">
            <w:pPr>
              <w:pStyle w:val="Heading4"/>
              <w:keepNext w:val="0"/>
            </w:pPr>
            <w:r w:rsidRPr="00126664">
              <w:rPr>
                <w:b w:val="0"/>
              </w:rPr>
              <w:t>There are no legal implications.</w:t>
            </w:r>
          </w:p>
        </w:tc>
      </w:tr>
    </w:tbl>
    <w:p w:rsidR="00213BE7" w:rsidRPr="00126664" w:rsidRDefault="00213BE7" w:rsidP="00213BE7">
      <w:pPr>
        <w:pStyle w:val="Heading4"/>
        <w:rPr>
          <w:b w:val="0"/>
        </w:rPr>
      </w:pPr>
    </w:p>
    <w:p w:rsidR="00213BE7" w:rsidRPr="00126664" w:rsidRDefault="00213BE7">
      <w:pPr>
        <w:pStyle w:val="Heading2"/>
      </w:pPr>
    </w:p>
    <w:p w:rsidR="002A2389" w:rsidRPr="00126664" w:rsidRDefault="002A2389">
      <w:pPr>
        <w:pStyle w:val="Heading2"/>
      </w:pPr>
      <w:r w:rsidRPr="00126664">
        <w:t>Financial Implications</w:t>
      </w:r>
    </w:p>
    <w:p w:rsidR="002C1794" w:rsidRPr="00126664" w:rsidRDefault="002C1794"/>
    <w:p w:rsidR="002A2389" w:rsidRPr="00126664" w:rsidRDefault="00D109E7" w:rsidP="00EF1A57">
      <w:pPr>
        <w:rPr>
          <w:rFonts w:cs="Arial"/>
        </w:rPr>
      </w:pPr>
      <w:r w:rsidRPr="00126664">
        <w:t>There are no financial implications.</w:t>
      </w:r>
    </w:p>
    <w:p w:rsidR="002A2389" w:rsidRPr="00126664" w:rsidRDefault="002A2389">
      <w:pPr>
        <w:rPr>
          <w:rFonts w:cs="Arial"/>
        </w:rPr>
      </w:pPr>
    </w:p>
    <w:p w:rsidR="00FF71E5" w:rsidRDefault="00FF71E5"/>
    <w:p w:rsidR="00C32DAE" w:rsidRDefault="00C32DAE" w:rsidP="00E02B50">
      <w:pPr>
        <w:pStyle w:val="Heading2"/>
      </w:pPr>
      <w:r>
        <w:t>Risk Management Implications</w:t>
      </w:r>
    </w:p>
    <w:p w:rsidR="00C32DAE" w:rsidRDefault="00C32DAE" w:rsidP="00C32DAE">
      <w:pPr>
        <w:pStyle w:val="Heading1"/>
        <w:rPr>
          <w:b/>
          <w:sz w:val="24"/>
          <w:szCs w:val="24"/>
        </w:rPr>
      </w:pPr>
    </w:p>
    <w:p w:rsidR="00DD4251" w:rsidRPr="00DD4251" w:rsidRDefault="00DD4251" w:rsidP="00DD4251">
      <w:pPr>
        <w:tabs>
          <w:tab w:val="left" w:pos="5610"/>
        </w:tabs>
        <w:ind w:right="81"/>
        <w:rPr>
          <w:rFonts w:cs="Arial"/>
          <w:szCs w:val="24"/>
          <w:lang w:val="en-US"/>
        </w:rPr>
      </w:pPr>
      <w:r w:rsidRPr="00DD4251">
        <w:rPr>
          <w:rFonts w:cs="Arial"/>
          <w:szCs w:val="24"/>
          <w:lang w:val="en-US"/>
        </w:rPr>
        <w:t>Risk included on Directorate risk register?  No</w:t>
      </w:r>
      <w:r w:rsidRPr="00DD4251">
        <w:rPr>
          <w:rFonts w:cs="Arial"/>
          <w:szCs w:val="24"/>
          <w:lang w:val="en-US"/>
        </w:rPr>
        <w:tab/>
      </w:r>
    </w:p>
    <w:p w:rsidR="00DD4251" w:rsidRPr="00DD4251" w:rsidRDefault="00DD4251" w:rsidP="00DD4251">
      <w:pPr>
        <w:ind w:right="141"/>
        <w:rPr>
          <w:rFonts w:cs="Arial"/>
          <w:szCs w:val="24"/>
          <w:lang w:val="en-US" w:eastAsia="en-GB"/>
        </w:rPr>
      </w:pPr>
      <w:r w:rsidRPr="00DD4251">
        <w:rPr>
          <w:rFonts w:cs="Arial"/>
          <w:szCs w:val="24"/>
          <w:lang w:val="en-US" w:eastAsia="en-GB"/>
        </w:rPr>
        <w:t> </w:t>
      </w:r>
    </w:p>
    <w:p w:rsidR="00DD4251" w:rsidRPr="00DD4251" w:rsidRDefault="00DD4251" w:rsidP="00DD4251">
      <w:pPr>
        <w:tabs>
          <w:tab w:val="left" w:pos="4488"/>
        </w:tabs>
        <w:ind w:right="141"/>
        <w:rPr>
          <w:rFonts w:cs="Arial"/>
          <w:szCs w:val="24"/>
          <w:lang w:val="en-US" w:eastAsia="en-GB"/>
        </w:rPr>
      </w:pPr>
      <w:r w:rsidRPr="00DD4251">
        <w:rPr>
          <w:rFonts w:cs="Arial"/>
          <w:szCs w:val="24"/>
          <w:lang w:val="en-US" w:eastAsia="en-GB"/>
        </w:rPr>
        <w:t>Separate risk register in place?  No</w:t>
      </w:r>
      <w:r w:rsidRPr="00DD4251">
        <w:rPr>
          <w:rFonts w:cs="Arial"/>
          <w:szCs w:val="24"/>
          <w:lang w:val="en-US" w:eastAsia="en-GB"/>
        </w:rPr>
        <w:tab/>
      </w:r>
    </w:p>
    <w:p w:rsidR="00DD4251" w:rsidRPr="00DD4251" w:rsidRDefault="00DD4251" w:rsidP="00DD4251">
      <w:pPr>
        <w:ind w:right="141"/>
        <w:rPr>
          <w:rFonts w:cs="Arial"/>
          <w:szCs w:val="24"/>
          <w:lang w:val="en-US" w:eastAsia="en-GB"/>
        </w:rPr>
      </w:pPr>
      <w:r w:rsidRPr="00DD4251">
        <w:rPr>
          <w:rFonts w:cs="Arial"/>
          <w:szCs w:val="24"/>
          <w:lang w:val="en-US" w:eastAsia="en-GB"/>
        </w:rPr>
        <w:t> </w:t>
      </w:r>
    </w:p>
    <w:p w:rsidR="00DD4251" w:rsidRPr="00DD4251" w:rsidRDefault="00EF1A57" w:rsidP="00DD4251">
      <w:pPr>
        <w:ind w:right="141"/>
        <w:rPr>
          <w:rFonts w:cs="Arial"/>
          <w:szCs w:val="24"/>
          <w:lang w:val="en-US" w:eastAsia="en-GB"/>
        </w:rPr>
      </w:pPr>
      <w:r>
        <w:rPr>
          <w:rFonts w:cs="Arial"/>
          <w:szCs w:val="24"/>
          <w:lang w:val="en-US" w:eastAsia="en-GB"/>
        </w:rPr>
        <w:lastRenderedPageBreak/>
        <w:t>If an Annual Report is not provided to Council the Committee will not be fulfilling their Terms of Reference and will not be complying with best practice as set out in the CIPFA guidance.</w:t>
      </w:r>
      <w:r w:rsidR="00DD4251" w:rsidRPr="00DD4251">
        <w:rPr>
          <w:rFonts w:cs="Arial"/>
          <w:szCs w:val="24"/>
          <w:lang w:val="en-US" w:eastAsia="en-GB"/>
        </w:rPr>
        <w:t xml:space="preserve">  </w:t>
      </w:r>
    </w:p>
    <w:p w:rsidR="00DD4251" w:rsidRPr="00DD4251" w:rsidRDefault="00DD4251" w:rsidP="00DD4251">
      <w:pPr>
        <w:ind w:right="141"/>
        <w:rPr>
          <w:rFonts w:cs="Arial"/>
          <w:szCs w:val="24"/>
          <w:lang w:val="en-US" w:eastAsia="en-GB"/>
        </w:rPr>
      </w:pPr>
    </w:p>
    <w:p w:rsidR="00FD31A0" w:rsidRPr="004A2543" w:rsidRDefault="00FD31A0" w:rsidP="00FD31A0">
      <w:pPr>
        <w:pStyle w:val="Heading2"/>
        <w:keepNext/>
      </w:pPr>
      <w:r w:rsidRPr="004A2543">
        <w:t>Equalities implications</w:t>
      </w:r>
      <w:r w:rsidR="00213BE7">
        <w:t xml:space="preserve"> / Public Sector Equality Duty </w:t>
      </w:r>
    </w:p>
    <w:p w:rsidR="00FD31A0" w:rsidRDefault="00FD31A0" w:rsidP="00FD31A0">
      <w:pPr>
        <w:keepNext/>
      </w:pPr>
    </w:p>
    <w:p w:rsidR="00FD31A0" w:rsidRPr="004A2543" w:rsidRDefault="00FD31A0" w:rsidP="00FD31A0">
      <w:r w:rsidRPr="004A2543">
        <w:t xml:space="preserve">Was an Equality Impact Assessment carried out?  </w:t>
      </w:r>
      <w:r>
        <w:t xml:space="preserve">No </w:t>
      </w:r>
      <w:r w:rsidR="00EF1A57">
        <w:t>(n/a)</w:t>
      </w:r>
    </w:p>
    <w:p w:rsidR="00FD31A0" w:rsidRPr="004A2543" w:rsidRDefault="00FD31A0" w:rsidP="00FD31A0"/>
    <w:p w:rsidR="004B4A47" w:rsidRPr="00CD57D8" w:rsidRDefault="00AC0AAB" w:rsidP="004B4A47">
      <w:pPr>
        <w:pStyle w:val="Heading2"/>
      </w:pPr>
      <w:r>
        <w:t xml:space="preserve">Council </w:t>
      </w:r>
      <w:r w:rsidR="004B4A47" w:rsidRPr="00CD57D8">
        <w:t>Priorities</w:t>
      </w:r>
    </w:p>
    <w:p w:rsidR="004B4A47" w:rsidRPr="00CD57D8" w:rsidRDefault="004B4A47" w:rsidP="004B4A47">
      <w:pPr>
        <w:keepNext/>
        <w:ind w:right="144"/>
        <w:rPr>
          <w:rFonts w:cs="Arial"/>
          <w:szCs w:val="24"/>
          <w:lang w:val="en-US"/>
        </w:rPr>
      </w:pPr>
    </w:p>
    <w:p w:rsidR="00A52676" w:rsidRPr="00400032" w:rsidRDefault="00A52676" w:rsidP="00A52676">
      <w:r w:rsidRPr="00A52676">
        <w:rPr>
          <w:rFonts w:cs="Arial"/>
          <w:szCs w:val="24"/>
          <w:lang w:val="en-US"/>
        </w:rPr>
        <w:t xml:space="preserve">The </w:t>
      </w:r>
      <w:r>
        <w:rPr>
          <w:rFonts w:cs="Arial"/>
          <w:szCs w:val="24"/>
          <w:lang w:val="en-US"/>
        </w:rPr>
        <w:t>GARMS Committee</w:t>
      </w:r>
      <w:r w:rsidRPr="00A52676">
        <w:rPr>
          <w:rFonts w:cs="Arial"/>
          <w:szCs w:val="24"/>
          <w:lang w:val="en-US"/>
        </w:rPr>
        <w:t xml:space="preserve"> contribute</w:t>
      </w:r>
      <w:r>
        <w:rPr>
          <w:rFonts w:cs="Arial"/>
          <w:szCs w:val="24"/>
          <w:lang w:val="en-US"/>
        </w:rPr>
        <w:t>s</w:t>
      </w:r>
      <w:r w:rsidRPr="00A52676">
        <w:rPr>
          <w:rFonts w:cs="Arial"/>
          <w:szCs w:val="24"/>
          <w:lang w:val="en-US"/>
        </w:rPr>
        <w:t xml:space="preserve"> to all the corporate priorities by enhancing the robustness of the control environment and governance mechanisms that directly or indirectly support these priorities.</w:t>
      </w:r>
      <w:r w:rsidRPr="00400032">
        <w:t xml:space="preserve"> </w:t>
      </w:r>
    </w:p>
    <w:p w:rsidR="001B441D" w:rsidRPr="007B7BAC" w:rsidRDefault="001B441D" w:rsidP="001B441D">
      <w:pPr>
        <w:rPr>
          <w:rFonts w:cs="Arial"/>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3"/>
        <w:gridCol w:w="436"/>
        <w:gridCol w:w="222"/>
        <w:gridCol w:w="3174"/>
      </w:tblGrid>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pPr>
              <w:pStyle w:val="Infotext"/>
            </w:pPr>
          </w:p>
        </w:tc>
      </w:tr>
      <w:tr w:rsidR="002A2389">
        <w:tc>
          <w:tcPr>
            <w:tcW w:w="2791" w:type="pct"/>
            <w:tcBorders>
              <w:top w:val="nil"/>
              <w:bottom w:val="nil"/>
            </w:tcBorders>
          </w:tcPr>
          <w:p w:rsidR="002A2389" w:rsidRDefault="002A2389" w:rsidP="00E8515B">
            <w:pPr>
              <w:pStyle w:val="Infotext"/>
            </w:pPr>
            <w:r>
              <w:t>Name:</w:t>
            </w:r>
            <w:r w:rsidR="00E8515B">
              <w:t xml:space="preserve">  </w:t>
            </w:r>
            <w:r w:rsidR="0026770F">
              <w:t>Dawn Calvert</w:t>
            </w:r>
          </w:p>
        </w:tc>
        <w:tc>
          <w:tcPr>
            <w:tcW w:w="138" w:type="pct"/>
            <w:tcBorders>
              <w:bottom w:val="single" w:sz="4" w:space="0" w:color="auto"/>
            </w:tcBorders>
          </w:tcPr>
          <w:p w:rsidR="002A2389" w:rsidRDefault="0026770F">
            <w:pPr>
              <w:pStyle w:val="Infotext"/>
            </w:pPr>
            <w:r>
              <w:sym w:font="Wingdings" w:char="F0FC"/>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Chief Financial Officer</w:t>
            </w:r>
          </w:p>
        </w:tc>
      </w:tr>
      <w:tr w:rsidR="002A2389">
        <w:tc>
          <w:tcPr>
            <w:tcW w:w="2791" w:type="pct"/>
            <w:tcBorders>
              <w:top w:val="nil"/>
              <w:right w:val="nil"/>
            </w:tcBorders>
          </w:tcPr>
          <w:p w:rsidR="002A2389" w:rsidRDefault="002A2389">
            <w:pPr>
              <w:pStyle w:val="Infotext"/>
            </w:pPr>
            <w:r>
              <w:t xml:space="preserve"> </w:t>
            </w:r>
          </w:p>
          <w:p w:rsidR="002A2389" w:rsidRDefault="002A2389" w:rsidP="0026770F">
            <w:pPr>
              <w:pStyle w:val="Infotext"/>
            </w:pPr>
            <w:r>
              <w:t xml:space="preserve">Date: </w:t>
            </w:r>
            <w:r w:rsidR="00E8515B">
              <w:t xml:space="preserve"> </w:t>
            </w:r>
            <w:r w:rsidR="0026770F">
              <w:t>04/09/19</w:t>
            </w:r>
          </w:p>
        </w:tc>
        <w:tc>
          <w:tcPr>
            <w:tcW w:w="138" w:type="pct"/>
            <w:tcBorders>
              <w:left w:val="nil"/>
              <w:bottom w:val="single" w:sz="4" w:space="0" w:color="auto"/>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tc>
      </w:tr>
      <w:tr w:rsidR="002A2389">
        <w:tc>
          <w:tcPr>
            <w:tcW w:w="2791" w:type="pct"/>
            <w:tcBorders>
              <w:bottom w:val="nil"/>
              <w:right w:val="nil"/>
            </w:tcBorders>
          </w:tcPr>
          <w:p w:rsidR="002A2389" w:rsidRDefault="002A2389">
            <w:pPr>
              <w:pStyle w:val="Infotext"/>
            </w:pPr>
          </w:p>
          <w:p w:rsidR="002A2389" w:rsidRDefault="002A2389">
            <w:pPr>
              <w:pStyle w:val="Infotext"/>
            </w:pPr>
          </w:p>
        </w:tc>
        <w:tc>
          <w:tcPr>
            <w:tcW w:w="138" w:type="pct"/>
            <w:tcBorders>
              <w:left w:val="nil"/>
              <w:right w:val="nil"/>
            </w:tcBorders>
          </w:tcPr>
          <w:p w:rsidR="002A2389" w:rsidRDefault="002A2389">
            <w:pPr>
              <w:pStyle w:val="Infotext"/>
            </w:pPr>
          </w:p>
        </w:tc>
        <w:tc>
          <w:tcPr>
            <w:tcW w:w="138" w:type="pct"/>
            <w:tcBorders>
              <w:left w:val="nil"/>
              <w:bottom w:val="nil"/>
              <w:right w:val="nil"/>
            </w:tcBorders>
          </w:tcPr>
          <w:p w:rsidR="002A2389" w:rsidRDefault="002A2389">
            <w:pPr>
              <w:pStyle w:val="Infotext"/>
            </w:pPr>
          </w:p>
        </w:tc>
        <w:tc>
          <w:tcPr>
            <w:tcW w:w="1932" w:type="pct"/>
            <w:tcBorders>
              <w:left w:val="nil"/>
              <w:bottom w:val="nil"/>
            </w:tcBorders>
          </w:tcPr>
          <w:p w:rsidR="002A2389" w:rsidRDefault="002A2389">
            <w:pPr>
              <w:pStyle w:val="Infotext"/>
            </w:pPr>
          </w:p>
          <w:p w:rsidR="002A2389" w:rsidRDefault="002A2389" w:rsidP="00386C8F">
            <w:pPr>
              <w:pStyle w:val="Infotext"/>
            </w:pPr>
            <w:r>
              <w:t>on behalf of the</w:t>
            </w:r>
          </w:p>
        </w:tc>
      </w:tr>
      <w:tr w:rsidR="002A2389">
        <w:tc>
          <w:tcPr>
            <w:tcW w:w="2791" w:type="pct"/>
            <w:tcBorders>
              <w:top w:val="nil"/>
              <w:bottom w:val="nil"/>
            </w:tcBorders>
          </w:tcPr>
          <w:p w:rsidR="002A2389" w:rsidRDefault="002A2389" w:rsidP="00E8515B">
            <w:pPr>
              <w:pStyle w:val="Infotext"/>
            </w:pPr>
            <w:r>
              <w:t xml:space="preserve">Name: </w:t>
            </w:r>
            <w:r w:rsidR="00E8515B">
              <w:t xml:space="preserve"> </w:t>
            </w:r>
            <w:r w:rsidR="007D5721">
              <w:t>Caroline Eccles</w:t>
            </w:r>
          </w:p>
        </w:tc>
        <w:tc>
          <w:tcPr>
            <w:tcW w:w="138" w:type="pct"/>
            <w:tcBorders>
              <w:bottom w:val="single" w:sz="4" w:space="0" w:color="auto"/>
            </w:tcBorders>
          </w:tcPr>
          <w:p w:rsidR="002A2389" w:rsidRDefault="007D5721">
            <w:pPr>
              <w:pStyle w:val="Infotext"/>
            </w:pPr>
            <w:r>
              <w:sym w:font="Wingdings" w:char="F0FC"/>
            </w:r>
          </w:p>
        </w:tc>
        <w:tc>
          <w:tcPr>
            <w:tcW w:w="138" w:type="pct"/>
            <w:tcBorders>
              <w:top w:val="nil"/>
              <w:bottom w:val="nil"/>
              <w:right w:val="nil"/>
            </w:tcBorders>
          </w:tcPr>
          <w:p w:rsidR="002A2389" w:rsidRDefault="002A2389">
            <w:pPr>
              <w:pStyle w:val="Infotext"/>
            </w:pPr>
          </w:p>
        </w:tc>
        <w:tc>
          <w:tcPr>
            <w:tcW w:w="1932" w:type="pct"/>
            <w:tcBorders>
              <w:top w:val="nil"/>
              <w:left w:val="nil"/>
              <w:bottom w:val="nil"/>
            </w:tcBorders>
          </w:tcPr>
          <w:p w:rsidR="002A2389" w:rsidRDefault="002A2389">
            <w:pPr>
              <w:pStyle w:val="Infotext"/>
            </w:pPr>
            <w:r>
              <w:t>Monitoring Officer</w:t>
            </w:r>
          </w:p>
        </w:tc>
      </w:tr>
      <w:tr w:rsidR="002A2389">
        <w:tc>
          <w:tcPr>
            <w:tcW w:w="2791" w:type="pct"/>
            <w:tcBorders>
              <w:top w:val="nil"/>
              <w:right w:val="nil"/>
            </w:tcBorders>
          </w:tcPr>
          <w:p w:rsidR="002A2389" w:rsidRDefault="002A2389">
            <w:pPr>
              <w:pStyle w:val="Infotext"/>
            </w:pPr>
          </w:p>
          <w:p w:rsidR="002A2389" w:rsidRDefault="002A2389" w:rsidP="00E8515B">
            <w:pPr>
              <w:pStyle w:val="Infotext"/>
            </w:pPr>
            <w:r>
              <w:t xml:space="preserve">Date: </w:t>
            </w:r>
            <w:r w:rsidR="00E8515B">
              <w:t xml:space="preserve"> </w:t>
            </w:r>
            <w:r w:rsidR="007D5721">
              <w:t>04/09/19</w:t>
            </w:r>
          </w:p>
        </w:tc>
        <w:tc>
          <w:tcPr>
            <w:tcW w:w="138" w:type="pct"/>
            <w:tcBorders>
              <w:left w:val="nil"/>
              <w:right w:val="nil"/>
            </w:tcBorders>
          </w:tcPr>
          <w:p w:rsidR="002A2389" w:rsidRDefault="002A2389">
            <w:pPr>
              <w:pStyle w:val="Infotext"/>
            </w:pPr>
          </w:p>
        </w:tc>
        <w:tc>
          <w:tcPr>
            <w:tcW w:w="138" w:type="pct"/>
            <w:tcBorders>
              <w:top w:val="nil"/>
              <w:left w:val="nil"/>
              <w:right w:val="nil"/>
            </w:tcBorders>
          </w:tcPr>
          <w:p w:rsidR="002A2389" w:rsidRDefault="002A2389">
            <w:pPr>
              <w:pStyle w:val="Infotext"/>
            </w:pPr>
          </w:p>
        </w:tc>
        <w:tc>
          <w:tcPr>
            <w:tcW w:w="1932" w:type="pct"/>
            <w:tcBorders>
              <w:top w:val="nil"/>
              <w:left w:val="nil"/>
            </w:tcBorders>
          </w:tcPr>
          <w:p w:rsidR="002A2389" w:rsidRDefault="002A2389">
            <w:pPr>
              <w:pStyle w:val="Infotext"/>
            </w:pPr>
          </w:p>
          <w:p w:rsidR="002A2389" w:rsidRDefault="002A2389">
            <w:pPr>
              <w:pStyle w:val="Infotext"/>
            </w:pPr>
          </w:p>
        </w:tc>
      </w:tr>
    </w:tbl>
    <w:p w:rsidR="002A2389" w:rsidRDefault="002A2389">
      <w:pPr>
        <w:jc w:val="both"/>
        <w:rPr>
          <w:rFonts w:cs="Arial"/>
        </w:rPr>
      </w:pPr>
    </w:p>
    <w:p w:rsidR="002A2389" w:rsidRDefault="002A2389"/>
    <w:p w:rsidR="00213BE7" w:rsidRDefault="00213B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0"/>
        <w:gridCol w:w="436"/>
        <w:gridCol w:w="234"/>
        <w:gridCol w:w="3565"/>
      </w:tblGrid>
      <w:tr w:rsidR="00213BE7" w:rsidTr="000A6659">
        <w:tc>
          <w:tcPr>
            <w:tcW w:w="4752" w:type="dxa"/>
            <w:tcBorders>
              <w:bottom w:val="nil"/>
              <w:right w:val="nil"/>
            </w:tcBorders>
          </w:tcPr>
          <w:p w:rsidR="00213BE7" w:rsidRDefault="00213BE7" w:rsidP="000A6659">
            <w:pPr>
              <w:pStyle w:val="Infotext"/>
            </w:pPr>
          </w:p>
          <w:p w:rsidR="00213BE7" w:rsidRDefault="00213BE7" w:rsidP="000A6659">
            <w:pPr>
              <w:pStyle w:val="Infotext"/>
            </w:pPr>
          </w:p>
        </w:tc>
        <w:tc>
          <w:tcPr>
            <w:tcW w:w="387" w:type="dxa"/>
            <w:tcBorders>
              <w:left w:val="nil"/>
              <w:right w:val="nil"/>
            </w:tcBorders>
          </w:tcPr>
          <w:p w:rsidR="00213BE7" w:rsidRDefault="00213BE7" w:rsidP="000A6659">
            <w:pPr>
              <w:pStyle w:val="Infotext"/>
            </w:pPr>
          </w:p>
        </w:tc>
        <w:tc>
          <w:tcPr>
            <w:tcW w:w="236" w:type="dxa"/>
            <w:tcBorders>
              <w:left w:val="nil"/>
              <w:bottom w:val="nil"/>
              <w:right w:val="nil"/>
            </w:tcBorders>
          </w:tcPr>
          <w:p w:rsidR="00213BE7" w:rsidRDefault="00213BE7" w:rsidP="000A6659">
            <w:pPr>
              <w:pStyle w:val="Infotext"/>
            </w:pPr>
          </w:p>
        </w:tc>
        <w:tc>
          <w:tcPr>
            <w:tcW w:w="3890" w:type="dxa"/>
            <w:tcBorders>
              <w:left w:val="nil"/>
              <w:bottom w:val="nil"/>
            </w:tcBorders>
          </w:tcPr>
          <w:p w:rsidR="00213BE7" w:rsidRDefault="00213BE7" w:rsidP="000A6659">
            <w:pPr>
              <w:pStyle w:val="Infotext"/>
            </w:pPr>
          </w:p>
          <w:p w:rsidR="00213BE7" w:rsidRDefault="00213BE7" w:rsidP="000A6659">
            <w:pPr>
              <w:pStyle w:val="Infotext"/>
            </w:pPr>
          </w:p>
        </w:tc>
      </w:tr>
      <w:tr w:rsidR="00213BE7" w:rsidTr="000A6659">
        <w:tc>
          <w:tcPr>
            <w:tcW w:w="4752" w:type="dxa"/>
            <w:tcBorders>
              <w:top w:val="nil"/>
              <w:bottom w:val="nil"/>
            </w:tcBorders>
          </w:tcPr>
          <w:p w:rsidR="00213BE7" w:rsidRDefault="00213BE7" w:rsidP="00E8515B">
            <w:pPr>
              <w:pStyle w:val="Infotext"/>
            </w:pPr>
            <w:r>
              <w:t xml:space="preserve">Name: </w:t>
            </w:r>
            <w:r w:rsidR="00E8515B">
              <w:t xml:space="preserve"> </w:t>
            </w:r>
            <w:r w:rsidR="0026770F">
              <w:t>Charlie Stewart</w:t>
            </w:r>
          </w:p>
        </w:tc>
        <w:tc>
          <w:tcPr>
            <w:tcW w:w="387" w:type="dxa"/>
            <w:tcBorders>
              <w:bottom w:val="single" w:sz="4" w:space="0" w:color="auto"/>
            </w:tcBorders>
          </w:tcPr>
          <w:p w:rsidR="00213BE7" w:rsidRDefault="0026770F" w:rsidP="000A6659">
            <w:pPr>
              <w:pStyle w:val="Infotext"/>
            </w:pPr>
            <w:r>
              <w:sym w:font="Wingdings" w:char="F0FC"/>
            </w:r>
          </w:p>
        </w:tc>
        <w:tc>
          <w:tcPr>
            <w:tcW w:w="236" w:type="dxa"/>
            <w:tcBorders>
              <w:top w:val="nil"/>
              <w:bottom w:val="nil"/>
              <w:right w:val="nil"/>
            </w:tcBorders>
          </w:tcPr>
          <w:p w:rsidR="00213BE7" w:rsidRDefault="00213BE7" w:rsidP="000A6659">
            <w:pPr>
              <w:pStyle w:val="Infotext"/>
            </w:pPr>
          </w:p>
        </w:tc>
        <w:tc>
          <w:tcPr>
            <w:tcW w:w="3890" w:type="dxa"/>
            <w:tcBorders>
              <w:top w:val="nil"/>
              <w:left w:val="nil"/>
              <w:bottom w:val="nil"/>
            </w:tcBorders>
          </w:tcPr>
          <w:p w:rsidR="00213BE7" w:rsidRDefault="00213BE7" w:rsidP="000A6659">
            <w:pPr>
              <w:pStyle w:val="Infotext"/>
            </w:pPr>
            <w:r>
              <w:t>Corporate Director</w:t>
            </w:r>
          </w:p>
        </w:tc>
      </w:tr>
      <w:tr w:rsidR="00213BE7" w:rsidTr="000A6659">
        <w:tc>
          <w:tcPr>
            <w:tcW w:w="4752" w:type="dxa"/>
            <w:tcBorders>
              <w:top w:val="nil"/>
              <w:right w:val="nil"/>
            </w:tcBorders>
          </w:tcPr>
          <w:p w:rsidR="00213BE7" w:rsidRDefault="00213BE7" w:rsidP="000A6659">
            <w:pPr>
              <w:pStyle w:val="Infotext"/>
            </w:pPr>
            <w:r>
              <w:t xml:space="preserve"> </w:t>
            </w:r>
          </w:p>
          <w:p w:rsidR="00213BE7" w:rsidRDefault="00213BE7" w:rsidP="0026770F">
            <w:pPr>
              <w:pStyle w:val="Infotext"/>
            </w:pPr>
            <w:r>
              <w:t xml:space="preserve">Date: </w:t>
            </w:r>
            <w:r w:rsidR="00E8515B">
              <w:t xml:space="preserve"> </w:t>
            </w:r>
            <w:r w:rsidR="0026770F">
              <w:t>03/09/19</w:t>
            </w:r>
          </w:p>
        </w:tc>
        <w:tc>
          <w:tcPr>
            <w:tcW w:w="387" w:type="dxa"/>
            <w:tcBorders>
              <w:left w:val="nil"/>
              <w:bottom w:val="single" w:sz="4" w:space="0" w:color="auto"/>
              <w:right w:val="nil"/>
            </w:tcBorders>
          </w:tcPr>
          <w:p w:rsidR="00213BE7" w:rsidRDefault="00213BE7" w:rsidP="000A6659">
            <w:pPr>
              <w:pStyle w:val="Infotext"/>
            </w:pPr>
          </w:p>
        </w:tc>
        <w:tc>
          <w:tcPr>
            <w:tcW w:w="236" w:type="dxa"/>
            <w:tcBorders>
              <w:top w:val="nil"/>
              <w:left w:val="nil"/>
              <w:right w:val="nil"/>
            </w:tcBorders>
          </w:tcPr>
          <w:p w:rsidR="00213BE7" w:rsidRDefault="00213BE7" w:rsidP="000A6659">
            <w:pPr>
              <w:pStyle w:val="Infotext"/>
            </w:pPr>
          </w:p>
        </w:tc>
        <w:tc>
          <w:tcPr>
            <w:tcW w:w="3890" w:type="dxa"/>
            <w:tcBorders>
              <w:top w:val="nil"/>
              <w:left w:val="nil"/>
            </w:tcBorders>
          </w:tcPr>
          <w:p w:rsidR="00213BE7" w:rsidRDefault="00213BE7" w:rsidP="000A6659">
            <w:pPr>
              <w:pStyle w:val="Infotext"/>
            </w:pPr>
          </w:p>
        </w:tc>
      </w:tr>
    </w:tbl>
    <w:p w:rsidR="00213BE7" w:rsidRDefault="00213BE7"/>
    <w:p w:rsidR="002A2389" w:rsidRDefault="002A2389"/>
    <w:p w:rsidR="000B0E6F" w:rsidRDefault="000B0E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0B0E6F">
        <w:trPr>
          <w:trHeight w:val="965"/>
        </w:trPr>
        <w:tc>
          <w:tcPr>
            <w:tcW w:w="3025" w:type="pct"/>
            <w:tcBorders>
              <w:right w:val="nil"/>
            </w:tcBorders>
          </w:tcPr>
          <w:p w:rsidR="000B0E6F" w:rsidRDefault="000B0E6F" w:rsidP="008D7800">
            <w:pPr>
              <w:pStyle w:val="Infotext"/>
              <w:rPr>
                <w:rFonts w:ascii="Arial Black" w:hAnsi="Arial Black"/>
              </w:rPr>
            </w:pPr>
            <w:r>
              <w:rPr>
                <w:rFonts w:ascii="Arial Black" w:hAnsi="Arial Black"/>
              </w:rPr>
              <w:t>Ward Councillors notified:</w:t>
            </w:r>
          </w:p>
          <w:p w:rsidR="000B0E6F" w:rsidRDefault="000B0E6F" w:rsidP="008D7800">
            <w:pPr>
              <w:pStyle w:val="Infotext"/>
            </w:pPr>
          </w:p>
        </w:tc>
        <w:tc>
          <w:tcPr>
            <w:tcW w:w="1975" w:type="pct"/>
            <w:tcBorders>
              <w:left w:val="nil"/>
            </w:tcBorders>
          </w:tcPr>
          <w:p w:rsidR="000B0E6F" w:rsidRDefault="000B0E6F" w:rsidP="008D7800">
            <w:pPr>
              <w:pStyle w:val="Infotext"/>
            </w:pPr>
          </w:p>
          <w:p w:rsidR="000B0E6F" w:rsidRPr="00A406F3" w:rsidRDefault="000B0E6F" w:rsidP="008D7800">
            <w:pPr>
              <w:pStyle w:val="Infotext"/>
              <w:spacing w:before="120"/>
              <w:rPr>
                <w:b/>
              </w:rPr>
            </w:pPr>
            <w:r w:rsidRPr="00A406F3">
              <w:rPr>
                <w:b/>
              </w:rPr>
              <w:t xml:space="preserve"> NO </w:t>
            </w:r>
          </w:p>
          <w:p w:rsidR="000B0E6F" w:rsidRPr="003D78F6" w:rsidRDefault="000B0E6F" w:rsidP="00EB21FA">
            <w:pPr>
              <w:pStyle w:val="Infotext"/>
              <w:rPr>
                <w:i/>
                <w:sz w:val="24"/>
                <w:szCs w:val="24"/>
              </w:rPr>
            </w:pPr>
          </w:p>
        </w:tc>
      </w:tr>
    </w:tbl>
    <w:p w:rsidR="000B0E6F" w:rsidRDefault="000B0E6F"/>
    <w:p w:rsidR="000B0E6F" w:rsidRDefault="000B0E6F"/>
    <w:p w:rsidR="000B0E6F" w:rsidRDefault="000B0E6F"/>
    <w:p w:rsidR="002A2389" w:rsidRDefault="002A2389" w:rsidP="008D1750">
      <w:pPr>
        <w:pStyle w:val="Heading1"/>
        <w:keepNext/>
      </w:pPr>
      <w:r>
        <w:lastRenderedPageBreak/>
        <w:t>Section 4 - Contact Details and Background Papers</w:t>
      </w:r>
    </w:p>
    <w:p w:rsidR="002A2389" w:rsidRDefault="002A2389" w:rsidP="008D1750">
      <w:pPr>
        <w:keepNext/>
        <w:rPr>
          <w:rFonts w:cs="Arial"/>
        </w:rPr>
      </w:pPr>
    </w:p>
    <w:p w:rsidR="002A2389" w:rsidRDefault="002A2389"/>
    <w:p w:rsidR="002A2389" w:rsidRDefault="002A2389">
      <w:pPr>
        <w:pStyle w:val="Infotext"/>
      </w:pPr>
      <w:r w:rsidRPr="00D914D2">
        <w:rPr>
          <w:b/>
        </w:rPr>
        <w:t>Contact:</w:t>
      </w:r>
      <w:r>
        <w:t xml:space="preserve">  </w:t>
      </w:r>
      <w:r w:rsidR="00A52676">
        <w:t>Susan Dixson, Head of Internal Audit &amp; Corporate Anti-Fraud, 02084241420</w:t>
      </w:r>
    </w:p>
    <w:p w:rsidR="002A2389" w:rsidRDefault="002A2389"/>
    <w:p w:rsidR="002A2389" w:rsidRDefault="002A2389"/>
    <w:p w:rsidR="002A2389" w:rsidRDefault="002A2389" w:rsidP="00A52676">
      <w:pPr>
        <w:pStyle w:val="Infotext"/>
      </w:pPr>
      <w:r w:rsidRPr="00D914D2">
        <w:rPr>
          <w:b/>
        </w:rPr>
        <w:t>Background Papers</w:t>
      </w:r>
      <w:r>
        <w:t xml:space="preserve">:  </w:t>
      </w:r>
      <w:r w:rsidR="00A52676">
        <w:t>None</w:t>
      </w:r>
    </w:p>
    <w:p w:rsidR="00FF71E5" w:rsidRDefault="00FF71E5"/>
    <w:p w:rsidR="002A2389" w:rsidRDefault="002A2389"/>
    <w:p w:rsidR="002A2389" w:rsidRDefault="002A2389">
      <w:bookmarkStart w:id="0" w:name="_GoBack"/>
      <w:bookmarkEnd w:id="0"/>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3C" w:rsidRDefault="008F2F3C">
      <w:r>
        <w:separator/>
      </w:r>
    </w:p>
  </w:endnote>
  <w:endnote w:type="continuationSeparator" w:id="0">
    <w:p w:rsidR="008F2F3C" w:rsidRDefault="008F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3C" w:rsidRDefault="008F2F3C">
      <w:r>
        <w:separator/>
      </w:r>
    </w:p>
  </w:footnote>
  <w:footnote w:type="continuationSeparator" w:id="0">
    <w:p w:rsidR="008F2F3C" w:rsidRDefault="008F2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E0621"/>
    <w:multiLevelType w:val="hybridMultilevel"/>
    <w:tmpl w:val="85E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1"/>
  </w:num>
  <w:num w:numId="11">
    <w:abstractNumId w:val="14"/>
  </w:num>
  <w:num w:numId="12">
    <w:abstractNumId w:val="10"/>
  </w:num>
  <w:num w:numId="13">
    <w:abstractNumId w:val="2"/>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3"/>
    <w:rsid w:val="000201E3"/>
    <w:rsid w:val="00057F10"/>
    <w:rsid w:val="000633A2"/>
    <w:rsid w:val="00071EB4"/>
    <w:rsid w:val="00077298"/>
    <w:rsid w:val="000A58A1"/>
    <w:rsid w:val="000A6659"/>
    <w:rsid w:val="000B0E6F"/>
    <w:rsid w:val="000B6DBB"/>
    <w:rsid w:val="000D2BF2"/>
    <w:rsid w:val="000F65C0"/>
    <w:rsid w:val="00126664"/>
    <w:rsid w:val="001855E6"/>
    <w:rsid w:val="001939BA"/>
    <w:rsid w:val="001A6EB0"/>
    <w:rsid w:val="001B441D"/>
    <w:rsid w:val="001C5225"/>
    <w:rsid w:val="001E0219"/>
    <w:rsid w:val="00213BE7"/>
    <w:rsid w:val="002233F2"/>
    <w:rsid w:val="00231A1D"/>
    <w:rsid w:val="00244120"/>
    <w:rsid w:val="00256FE9"/>
    <w:rsid w:val="0026770F"/>
    <w:rsid w:val="00293F9F"/>
    <w:rsid w:val="002A2389"/>
    <w:rsid w:val="002C08E2"/>
    <w:rsid w:val="002C1794"/>
    <w:rsid w:val="002D2F97"/>
    <w:rsid w:val="002E6637"/>
    <w:rsid w:val="002E77E3"/>
    <w:rsid w:val="00332947"/>
    <w:rsid w:val="00333EB4"/>
    <w:rsid w:val="0034130A"/>
    <w:rsid w:val="00345915"/>
    <w:rsid w:val="00386C8F"/>
    <w:rsid w:val="00400032"/>
    <w:rsid w:val="0042394B"/>
    <w:rsid w:val="00473B08"/>
    <w:rsid w:val="00474B5F"/>
    <w:rsid w:val="004A3CE6"/>
    <w:rsid w:val="004B2C9D"/>
    <w:rsid w:val="004B4A47"/>
    <w:rsid w:val="004E667D"/>
    <w:rsid w:val="004E6AF9"/>
    <w:rsid w:val="00597314"/>
    <w:rsid w:val="005A61AF"/>
    <w:rsid w:val="005D0886"/>
    <w:rsid w:val="005E384D"/>
    <w:rsid w:val="005F2181"/>
    <w:rsid w:val="005F724B"/>
    <w:rsid w:val="00607116"/>
    <w:rsid w:val="0063072B"/>
    <w:rsid w:val="00662891"/>
    <w:rsid w:val="006628B7"/>
    <w:rsid w:val="00675FCB"/>
    <w:rsid w:val="00692F0D"/>
    <w:rsid w:val="006C3914"/>
    <w:rsid w:val="006D3648"/>
    <w:rsid w:val="0074184E"/>
    <w:rsid w:val="00743829"/>
    <w:rsid w:val="00755F8D"/>
    <w:rsid w:val="00796503"/>
    <w:rsid w:val="007D2BDA"/>
    <w:rsid w:val="007D56C8"/>
    <w:rsid w:val="007D5721"/>
    <w:rsid w:val="007E3934"/>
    <w:rsid w:val="007E7303"/>
    <w:rsid w:val="008212A0"/>
    <w:rsid w:val="00837F53"/>
    <w:rsid w:val="008D1750"/>
    <w:rsid w:val="008D7800"/>
    <w:rsid w:val="008E2910"/>
    <w:rsid w:val="008E4913"/>
    <w:rsid w:val="008F2F3C"/>
    <w:rsid w:val="00900464"/>
    <w:rsid w:val="0090100E"/>
    <w:rsid w:val="0093767E"/>
    <w:rsid w:val="00972A02"/>
    <w:rsid w:val="0099517C"/>
    <w:rsid w:val="009A0937"/>
    <w:rsid w:val="009B2ECD"/>
    <w:rsid w:val="009B7914"/>
    <w:rsid w:val="009F430B"/>
    <w:rsid w:val="00A52676"/>
    <w:rsid w:val="00A566E7"/>
    <w:rsid w:val="00A940D3"/>
    <w:rsid w:val="00A96FCA"/>
    <w:rsid w:val="00AA4BE8"/>
    <w:rsid w:val="00AC0AAB"/>
    <w:rsid w:val="00AC7BA9"/>
    <w:rsid w:val="00B0425E"/>
    <w:rsid w:val="00B900E2"/>
    <w:rsid w:val="00B9118E"/>
    <w:rsid w:val="00BD684A"/>
    <w:rsid w:val="00C32DAE"/>
    <w:rsid w:val="00C40E24"/>
    <w:rsid w:val="00C92D9A"/>
    <w:rsid w:val="00C96EF5"/>
    <w:rsid w:val="00CD6F1D"/>
    <w:rsid w:val="00D109E7"/>
    <w:rsid w:val="00D32B51"/>
    <w:rsid w:val="00D34668"/>
    <w:rsid w:val="00D3740E"/>
    <w:rsid w:val="00D40335"/>
    <w:rsid w:val="00D82F57"/>
    <w:rsid w:val="00D841A5"/>
    <w:rsid w:val="00D914D2"/>
    <w:rsid w:val="00DA25DB"/>
    <w:rsid w:val="00DD4251"/>
    <w:rsid w:val="00E02B50"/>
    <w:rsid w:val="00E03596"/>
    <w:rsid w:val="00E03F11"/>
    <w:rsid w:val="00E06DC8"/>
    <w:rsid w:val="00E220B5"/>
    <w:rsid w:val="00E33D93"/>
    <w:rsid w:val="00E609EF"/>
    <w:rsid w:val="00E8515B"/>
    <w:rsid w:val="00EB21FA"/>
    <w:rsid w:val="00ED509E"/>
    <w:rsid w:val="00EF1A57"/>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F92398"/>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C5A83-9565-451F-AC3C-51145DD5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538</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3633</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mwearing</cp:lastModifiedBy>
  <cp:revision>5</cp:revision>
  <cp:lastPrinted>2007-07-12T09:53:00Z</cp:lastPrinted>
  <dcterms:created xsi:type="dcterms:W3CDTF">2019-09-04T14:33:00Z</dcterms:created>
  <dcterms:modified xsi:type="dcterms:W3CDTF">2019-09-06T09:47:00Z</dcterms:modified>
</cp:coreProperties>
</file>